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670D" w14:textId="77777777" w:rsidR="00D7479B" w:rsidRPr="001452BB" w:rsidRDefault="00D7479B" w:rsidP="00D7479B">
      <w:pPr>
        <w:autoSpaceDE w:val="0"/>
        <w:autoSpaceDN w:val="0"/>
        <w:adjustRightInd w:val="0"/>
        <w:spacing w:after="0" w:line="15" w:lineRule="atLeast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</w:pPr>
    </w:p>
    <w:p w14:paraId="0760ADC2" w14:textId="163540FC" w:rsidR="00623C52" w:rsidRPr="001452BB" w:rsidRDefault="00623C52" w:rsidP="00D7479B">
      <w:pPr>
        <w:autoSpaceDE w:val="0"/>
        <w:autoSpaceDN w:val="0"/>
        <w:adjustRightInd w:val="0"/>
        <w:spacing w:after="0" w:line="15" w:lineRule="atLeast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</w:pPr>
      <w:r w:rsidRPr="001452BB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Infection Control Review</w:t>
      </w:r>
      <w:r w:rsidR="00D7479B" w:rsidRPr="001452BB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 xml:space="preserve"> for the facility to </w:t>
      </w:r>
      <w:r w:rsidR="00854486" w:rsidRPr="001452BB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provide:</w:t>
      </w:r>
    </w:p>
    <w:p w14:paraId="3518C4A5" w14:textId="4F4B1A9C" w:rsidR="00A929D7" w:rsidRPr="001452BB" w:rsidRDefault="00A929D7" w:rsidP="004C7970">
      <w:p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</w:p>
    <w:p w14:paraId="1A7585B1" w14:textId="62A2F516" w:rsidR="009B747D" w:rsidRPr="001452BB" w:rsidRDefault="00AC0946" w:rsidP="004C7970">
      <w:p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</w:pPr>
      <w:r w:rsidRPr="001452BB">
        <w:rPr>
          <w:rFonts w:ascii="Segoe UI" w:eastAsia="Times New Roman" w:hAnsi="Segoe UI" w:cs="Times New Roman"/>
          <w:b/>
          <w:bCs/>
          <w:color w:val="000000"/>
          <w:sz w:val="20"/>
          <w:szCs w:val="20"/>
          <w:u w:val="single"/>
        </w:rPr>
        <w:t xml:space="preserve">Policies, Procedures </w:t>
      </w:r>
      <w:r w:rsidR="00E46542" w:rsidRPr="001452BB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Transmission Based Precautions,</w:t>
      </w:r>
      <w:r w:rsidR="009C0A7E" w:rsidRPr="001452BB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 xml:space="preserve"> </w:t>
      </w:r>
      <w:r w:rsidRPr="001452BB">
        <w:rPr>
          <w:rFonts w:ascii="Segoe UI" w:eastAsia="Times New Roman" w:hAnsi="Segoe UI" w:cs="Times New Roman"/>
          <w:b/>
          <w:bCs/>
          <w:color w:val="000000"/>
          <w:sz w:val="20"/>
          <w:szCs w:val="20"/>
          <w:u w:val="single"/>
        </w:rPr>
        <w:t xml:space="preserve">and </w:t>
      </w:r>
      <w:r w:rsidR="00755DD4" w:rsidRPr="001452BB">
        <w:rPr>
          <w:rFonts w:ascii="Segoe UI" w:eastAsia="Times New Roman" w:hAnsi="Segoe UI" w:cs="Times New Roman"/>
          <w:b/>
          <w:bCs/>
          <w:color w:val="000000"/>
          <w:sz w:val="20"/>
          <w:szCs w:val="20"/>
          <w:u w:val="single"/>
        </w:rPr>
        <w:t>Surveillance</w:t>
      </w:r>
    </w:p>
    <w:p w14:paraId="0070B495" w14:textId="787ECE0F" w:rsidR="004C7970" w:rsidRPr="001452BB" w:rsidRDefault="004C7970" w:rsidP="001270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Infection </w:t>
      </w:r>
      <w:r w:rsidR="00922332" w:rsidRPr="001452BB">
        <w:rPr>
          <w:rFonts w:ascii="Segoe UI" w:eastAsia="Times New Roman" w:hAnsi="Segoe UI" w:cs="Times New Roman"/>
          <w:color w:val="000000"/>
          <w:sz w:val="20"/>
          <w:szCs w:val="20"/>
        </w:rPr>
        <w:t>Control Poli</w:t>
      </w:r>
      <w:r w:rsidR="00D7479B" w:rsidRPr="001452BB">
        <w:rPr>
          <w:rFonts w:ascii="Segoe UI" w:eastAsia="Times New Roman" w:hAnsi="Segoe UI" w:cs="Times New Roman"/>
          <w:color w:val="000000"/>
          <w:sz w:val="20"/>
          <w:szCs w:val="20"/>
        </w:rPr>
        <w:t>cy Manual</w:t>
      </w:r>
      <w:r w:rsidR="00FA7B44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with yearly signed review</w:t>
      </w:r>
      <w:r w:rsidR="00AC0946" w:rsidRPr="001452BB">
        <w:rPr>
          <w:rFonts w:ascii="Segoe UI" w:eastAsia="Times New Roman" w:hAnsi="Segoe UI" w:cs="Times New Roman"/>
          <w:color w:val="000000"/>
          <w:sz w:val="20"/>
          <w:szCs w:val="20"/>
        </w:rPr>
        <w:t>.</w:t>
      </w:r>
    </w:p>
    <w:p w14:paraId="6FAD8B6A" w14:textId="241D734F" w:rsidR="00AC0946" w:rsidRPr="001452BB" w:rsidRDefault="00AC0946" w:rsidP="001270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Policy for undiagnosed respiratory illness</w:t>
      </w:r>
      <w:r w:rsidR="004D47D4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(requiring containment)</w:t>
      </w: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and COVID-19</w:t>
      </w:r>
    </w:p>
    <w:p w14:paraId="6E749DCD" w14:textId="57040810" w:rsidR="00755DD4" w:rsidRPr="001452BB" w:rsidRDefault="00A303FD" w:rsidP="001270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Exclusion from work for communicable disease or infected skin lesion</w:t>
      </w:r>
      <w:r w:rsidR="004D47D4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, i.e. shingles, </w:t>
      </w:r>
      <w:r w:rsidR="00E41453" w:rsidRPr="001452BB">
        <w:rPr>
          <w:rFonts w:ascii="Segoe UI" w:eastAsia="Times New Roman" w:hAnsi="Segoe UI" w:cs="Times New Roman"/>
          <w:color w:val="000000"/>
          <w:sz w:val="20"/>
          <w:szCs w:val="20"/>
        </w:rPr>
        <w:t>C-diff.</w:t>
      </w:r>
    </w:p>
    <w:p w14:paraId="1F91F651" w14:textId="449C1BF4" w:rsidR="00E46542" w:rsidRPr="001452BB" w:rsidRDefault="001F7098" w:rsidP="001F45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Surveillance plan to identify, track, monitor and or report infections</w:t>
      </w:r>
      <w:r w:rsidR="00E462D8" w:rsidRPr="001452BB">
        <w:rPr>
          <w:rFonts w:ascii="Segoe UI" w:eastAsia="Times New Roman" w:hAnsi="Segoe UI" w:cs="Times New Roman"/>
          <w:color w:val="000000"/>
          <w:sz w:val="20"/>
          <w:szCs w:val="20"/>
        </w:rPr>
        <w:t>,</w:t>
      </w: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communicable disease</w:t>
      </w:r>
      <w:r w:rsidR="00E462D8" w:rsidRPr="001452BB">
        <w:rPr>
          <w:rFonts w:ascii="Segoe UI" w:eastAsia="Times New Roman" w:hAnsi="Segoe UI" w:cs="Times New Roman"/>
          <w:color w:val="000000"/>
          <w:sz w:val="20"/>
          <w:szCs w:val="20"/>
        </w:rPr>
        <w:t>s,</w:t>
      </w: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and outbreaks for residents and staff.</w:t>
      </w:r>
      <w:r w:rsidR="006A382A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 </w:t>
      </w:r>
      <w:r w:rsidR="0031335A" w:rsidRPr="001452BB">
        <w:rPr>
          <w:rFonts w:ascii="Segoe UI" w:eastAsia="Times New Roman" w:hAnsi="Segoe UI" w:cs="Times New Roman"/>
          <w:color w:val="000000"/>
          <w:sz w:val="20"/>
          <w:szCs w:val="20"/>
        </w:rPr>
        <w:t>Include which communicable diseases are reportable to local and/or state public health authorities</w:t>
      </w:r>
      <w:r w:rsidR="001F45AF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and who is responsible for reporting communicable diseases and outbreaks.</w:t>
      </w:r>
    </w:p>
    <w:p w14:paraId="333B2199" w14:textId="659120C0" w:rsidR="001270ED" w:rsidRPr="001452BB" w:rsidRDefault="001270ED" w:rsidP="001270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Plan for early detection, management of a potentially infectious, symptomatic resident requiring lab testing or implementation of appropriate TBP/PPE</w:t>
      </w:r>
    </w:p>
    <w:p w14:paraId="1B15E3B5" w14:textId="2C24C264" w:rsidR="004C7970" w:rsidRPr="001452BB" w:rsidRDefault="004C7970" w:rsidP="001270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Environmental Rounds</w:t>
      </w:r>
    </w:p>
    <w:p w14:paraId="79AEC6D5" w14:textId="64D852F0" w:rsidR="00A06D82" w:rsidRPr="001452BB" w:rsidRDefault="00A06D82" w:rsidP="001270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Evidence based surveillance criteria</w:t>
      </w:r>
      <w:r w:rsidR="00EF751E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used</w:t>
      </w: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</w:t>
      </w:r>
      <w:r w:rsidR="002F0A39" w:rsidRPr="001452BB">
        <w:rPr>
          <w:rFonts w:ascii="Segoe UI" w:eastAsia="Times New Roman" w:hAnsi="Segoe UI" w:cs="Times New Roman"/>
          <w:color w:val="000000"/>
          <w:sz w:val="20"/>
          <w:szCs w:val="20"/>
        </w:rPr>
        <w:t>(</w:t>
      </w: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i.e. </w:t>
      </w:r>
      <w:r w:rsidR="002F0A39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CDC NHSN LTC or revised </w:t>
      </w: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McGe</w:t>
      </w:r>
      <w:r w:rsidR="002F0A39" w:rsidRPr="001452BB">
        <w:rPr>
          <w:rFonts w:ascii="Segoe UI" w:eastAsia="Times New Roman" w:hAnsi="Segoe UI" w:cs="Times New Roman"/>
          <w:color w:val="000000"/>
          <w:sz w:val="20"/>
          <w:szCs w:val="20"/>
        </w:rPr>
        <w:t>e</w:t>
      </w: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r</w:t>
      </w:r>
      <w:r w:rsidR="002F0A39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criteria)</w:t>
      </w: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to define infections and the use of a data collection tool.</w:t>
      </w:r>
    </w:p>
    <w:p w14:paraId="44211310" w14:textId="1D6852B9" w:rsidR="00AE7527" w:rsidRPr="001452BB" w:rsidRDefault="00AE7527" w:rsidP="00AE75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Include ongoing analysis of surveillance data and documentation of follow up activity in response/monthly tracking of Infections with percentage</w:t>
      </w:r>
      <w:r w:rsidR="00FF0C72" w:rsidRPr="001452BB">
        <w:rPr>
          <w:rFonts w:ascii="Segoe UI" w:eastAsia="Times New Roman" w:hAnsi="Segoe UI" w:cs="Times New Roman"/>
          <w:color w:val="000000"/>
          <w:sz w:val="20"/>
          <w:szCs w:val="20"/>
        </w:rPr>
        <w:t>s</w:t>
      </w: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.</w:t>
      </w:r>
    </w:p>
    <w:p w14:paraId="01855644" w14:textId="568FD95D" w:rsidR="00AE7527" w:rsidRPr="001452BB" w:rsidRDefault="00FF0C72" w:rsidP="001270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Process</w:t>
      </w:r>
      <w:r w:rsidR="007D720D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to obtain information from</w:t>
      </w:r>
      <w:r w:rsidR="004A19B8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sending</w:t>
      </w:r>
      <w:r w:rsidR="00160A2B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facility</w:t>
      </w:r>
      <w:r w:rsidR="007D720D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(i.e. hospital, dialysis</w:t>
      </w:r>
      <w:r w:rsidR="00160A2B" w:rsidRPr="001452BB">
        <w:rPr>
          <w:rFonts w:ascii="Segoe UI" w:eastAsia="Times New Roman" w:hAnsi="Segoe UI" w:cs="Times New Roman"/>
          <w:color w:val="000000"/>
          <w:sz w:val="20"/>
          <w:szCs w:val="20"/>
        </w:rPr>
        <w:t>)</w:t>
      </w:r>
      <w:r w:rsidR="004A19B8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or how information is sen</w:t>
      </w:r>
      <w:r w:rsidR="00443D86" w:rsidRPr="001452BB">
        <w:rPr>
          <w:rFonts w:ascii="Segoe UI" w:eastAsia="Times New Roman" w:hAnsi="Segoe UI" w:cs="Times New Roman"/>
          <w:color w:val="000000"/>
          <w:sz w:val="20"/>
          <w:szCs w:val="20"/>
        </w:rPr>
        <w:t>t</w:t>
      </w:r>
      <w:r w:rsidR="004A19B8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to receiving facility (i.e., hospital, dialysis, MD office)</w:t>
      </w:r>
      <w:r w:rsidR="00443D86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in regards</w:t>
      </w:r>
      <w:r w:rsidR="00182B4F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to</w:t>
      </w:r>
      <w:r w:rsidR="00443D86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infection status</w:t>
      </w:r>
      <w:r w:rsidR="00FA3094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to</w:t>
      </w:r>
      <w:r w:rsidR="00A86907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includ</w:t>
      </w:r>
      <w:r w:rsidR="00182B4F" w:rsidRPr="001452BB">
        <w:rPr>
          <w:rFonts w:ascii="Segoe UI" w:eastAsia="Times New Roman" w:hAnsi="Segoe UI" w:cs="Times New Roman"/>
          <w:color w:val="000000"/>
          <w:sz w:val="20"/>
          <w:szCs w:val="20"/>
        </w:rPr>
        <w:t>e</w:t>
      </w:r>
      <w:r w:rsidR="00A86907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but not limited to d/c summary, lab results, diagnoses, treatment and infection or MDRO status.</w:t>
      </w:r>
    </w:p>
    <w:p w14:paraId="6FC3D226" w14:textId="77777777" w:rsidR="00C6023A" w:rsidRPr="001452BB" w:rsidRDefault="00C6023A" w:rsidP="00C6023A">
      <w:pPr>
        <w:pStyle w:val="ListParagraph"/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</w:p>
    <w:p w14:paraId="46814B4C" w14:textId="2C2F3864" w:rsidR="002303B9" w:rsidRPr="001452BB" w:rsidRDefault="00C6023A" w:rsidP="004C7970">
      <w:p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b/>
          <w:bCs/>
          <w:color w:val="000000"/>
          <w:sz w:val="20"/>
          <w:szCs w:val="20"/>
          <w:u w:val="single"/>
        </w:rPr>
        <w:t>Water Management</w:t>
      </w:r>
    </w:p>
    <w:p w14:paraId="3746F776" w14:textId="77777777" w:rsidR="00C6023A" w:rsidRPr="001452BB" w:rsidRDefault="00C6023A" w:rsidP="002303B9">
      <w:p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</w:p>
    <w:p w14:paraId="7CECC4C1" w14:textId="17B0D047" w:rsidR="00B32366" w:rsidRPr="001452BB" w:rsidRDefault="0085179D" w:rsidP="00093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How the facility has assessed where Legionella and other opportunistic waterborne pathogens can grow and spread.</w:t>
      </w:r>
      <w:r w:rsidR="005E2BB3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 (</w:t>
      </w:r>
      <w:r w:rsidR="0021673F" w:rsidRPr="001452BB">
        <w:rPr>
          <w:rFonts w:ascii="Segoe UI" w:eastAsia="Times New Roman" w:hAnsi="Segoe UI" w:cs="Times New Roman"/>
          <w:color w:val="000000"/>
          <w:sz w:val="20"/>
          <w:szCs w:val="20"/>
        </w:rPr>
        <w:t>Description</w:t>
      </w:r>
      <w:r w:rsidR="005E2BB3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of water systems using text and flow diagrams)</w:t>
      </w:r>
    </w:p>
    <w:p w14:paraId="68120185" w14:textId="297714A4" w:rsidR="009E62B6" w:rsidRPr="001452BB" w:rsidRDefault="00816CA4" w:rsidP="00093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Control measures to prevent the growth of Legionella and oth</w:t>
      </w:r>
      <w:r w:rsidR="009E62B6" w:rsidRPr="001452BB">
        <w:rPr>
          <w:rFonts w:ascii="Segoe UI" w:eastAsia="Times New Roman" w:hAnsi="Segoe UI" w:cs="Times New Roman"/>
          <w:color w:val="000000"/>
          <w:sz w:val="20"/>
          <w:szCs w:val="20"/>
        </w:rPr>
        <w:t>er</w:t>
      </w: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opportunistic waterborne pathogens</w:t>
      </w:r>
      <w:r w:rsidR="009E62B6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based on nationally accepted standar</w:t>
      </w:r>
      <w:r w:rsidR="00585C53" w:rsidRPr="001452BB">
        <w:rPr>
          <w:rFonts w:ascii="Segoe UI" w:eastAsia="Times New Roman" w:hAnsi="Segoe UI" w:cs="Times New Roman"/>
          <w:color w:val="000000"/>
          <w:sz w:val="20"/>
          <w:szCs w:val="20"/>
        </w:rPr>
        <w:t>ds and which standard is used (i.e. CDC, ASHRAE, EPA)</w:t>
      </w:r>
    </w:p>
    <w:p w14:paraId="2F8A173A" w14:textId="393F9850" w:rsidR="000F390B" w:rsidRPr="001452BB" w:rsidRDefault="000F390B" w:rsidP="00093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Monitoring measures in place (testing protocol, acceptable ranges) and interventions</w:t>
      </w:r>
      <w:r w:rsidR="00C80703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for abnormalities</w:t>
      </w:r>
    </w:p>
    <w:p w14:paraId="706D4D9B" w14:textId="222107E9" w:rsidR="00C80703" w:rsidRPr="001452BB" w:rsidRDefault="00C80703" w:rsidP="00093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List of residents with Legionella since last survey exit date.</w:t>
      </w:r>
    </w:p>
    <w:p w14:paraId="2C10922B" w14:textId="77777777" w:rsidR="00DE6FEE" w:rsidRPr="001452BB" w:rsidRDefault="00DE6FEE" w:rsidP="002303B9">
      <w:p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</w:p>
    <w:p w14:paraId="1C056A2F" w14:textId="3890388B" w:rsidR="002303B9" w:rsidRPr="001452BB" w:rsidRDefault="002303B9" w:rsidP="002303B9">
      <w:p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b/>
          <w:bCs/>
          <w:color w:val="000000"/>
          <w:sz w:val="20"/>
          <w:szCs w:val="20"/>
          <w:u w:val="single"/>
        </w:rPr>
      </w:pPr>
      <w:r w:rsidRPr="001452BB">
        <w:rPr>
          <w:rFonts w:ascii="Segoe UI" w:eastAsia="Times New Roman" w:hAnsi="Segoe UI" w:cs="Times New Roman"/>
          <w:b/>
          <w:bCs/>
          <w:color w:val="000000"/>
          <w:sz w:val="20"/>
          <w:szCs w:val="20"/>
          <w:u w:val="single"/>
        </w:rPr>
        <w:t>Antibiotic Stewardship</w:t>
      </w:r>
    </w:p>
    <w:p w14:paraId="16C746B2" w14:textId="38F456CE" w:rsidR="002303B9" w:rsidRPr="001452BB" w:rsidRDefault="002303B9" w:rsidP="00093C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Policies</w:t>
      </w:r>
      <w:r w:rsidR="00DE6FEE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and protocols</w:t>
      </w:r>
      <w:r w:rsidR="00B55B51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for prescribing, documenting indication, dosage and duration of abt. use.</w:t>
      </w:r>
    </w:p>
    <w:p w14:paraId="75EFE849" w14:textId="31444874" w:rsidR="002303B9" w:rsidRPr="001452BB" w:rsidRDefault="000A4449" w:rsidP="00093C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>
        <w:rPr>
          <w:rFonts w:ascii="Segoe UI" w:eastAsia="Times New Roman" w:hAnsi="Segoe UI" w:cs="Times New Roman"/>
          <w:color w:val="000000"/>
          <w:sz w:val="20"/>
          <w:szCs w:val="20"/>
        </w:rPr>
        <w:t xml:space="preserve"> </w:t>
      </w:r>
      <w:r w:rsidR="002303B9" w:rsidRPr="001452BB">
        <w:rPr>
          <w:rFonts w:ascii="Segoe UI" w:eastAsia="Times New Roman" w:hAnsi="Segoe UI" w:cs="Times New Roman"/>
          <w:color w:val="000000"/>
          <w:sz w:val="20"/>
          <w:szCs w:val="20"/>
        </w:rPr>
        <w:t>Tracking with evidence of stewardship</w:t>
      </w:r>
    </w:p>
    <w:p w14:paraId="2020A4C9" w14:textId="0C6B5C57" w:rsidR="000D2CAB" w:rsidRPr="001452BB" w:rsidRDefault="00126E13" w:rsidP="00093C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Follow up protocols on antibiotic use </w:t>
      </w:r>
      <w:r w:rsidR="007D5638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to ensure </w:t>
      </w:r>
      <w:r w:rsidR="00E41600" w:rsidRPr="001452BB">
        <w:rPr>
          <w:rFonts w:ascii="Segoe UI" w:eastAsia="Times New Roman" w:hAnsi="Segoe UI" w:cs="Times New Roman"/>
          <w:color w:val="000000"/>
          <w:sz w:val="20"/>
          <w:szCs w:val="20"/>
        </w:rPr>
        <w:t>antibiotic</w:t>
      </w:r>
      <w:r w:rsidR="007D5638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is indicated, adjustment to therapy is required, what assessment tool is used</w:t>
      </w:r>
      <w:r w:rsidR="004A3C5B" w:rsidRPr="001452BB">
        <w:rPr>
          <w:rFonts w:ascii="Segoe UI" w:eastAsia="Times New Roman" w:hAnsi="Segoe UI" w:cs="Times New Roman"/>
          <w:color w:val="000000"/>
          <w:sz w:val="20"/>
          <w:szCs w:val="20"/>
        </w:rPr>
        <w:t>.  (i.e SBAR, Loeb)</w:t>
      </w:r>
    </w:p>
    <w:p w14:paraId="0FAF3F9E" w14:textId="77777777" w:rsidR="002303B9" w:rsidRPr="001452BB" w:rsidRDefault="002303B9" w:rsidP="00093C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Education</w:t>
      </w:r>
    </w:p>
    <w:p w14:paraId="5128570E" w14:textId="45B49CB6" w:rsidR="002303B9" w:rsidRPr="001452BB" w:rsidRDefault="002303B9" w:rsidP="00093C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sz w:val="20"/>
          <w:szCs w:val="20"/>
        </w:rPr>
      </w:pPr>
      <w:r w:rsidRPr="001452BB">
        <w:rPr>
          <w:rFonts w:ascii="Segoe UI" w:eastAsia="Times New Roman" w:hAnsi="Segoe UI" w:cs="Times New Roman"/>
          <w:sz w:val="20"/>
          <w:szCs w:val="20"/>
        </w:rPr>
        <w:t>Reporting/Feedback</w:t>
      </w:r>
      <w:r w:rsidR="00E41600" w:rsidRPr="001452BB">
        <w:rPr>
          <w:rFonts w:ascii="Segoe UI" w:eastAsia="Times New Roman" w:hAnsi="Segoe UI" w:cs="Times New Roman"/>
          <w:sz w:val="20"/>
          <w:szCs w:val="20"/>
        </w:rPr>
        <w:t xml:space="preserve">/Review of </w:t>
      </w:r>
      <w:r w:rsidRPr="001452BB">
        <w:rPr>
          <w:rFonts w:ascii="Segoe UI" w:eastAsia="Times New Roman" w:hAnsi="Segoe UI" w:cs="Times New Roman"/>
          <w:sz w:val="20"/>
          <w:szCs w:val="20"/>
        </w:rPr>
        <w:t>providers</w:t>
      </w:r>
      <w:r w:rsidR="00E41600" w:rsidRPr="001452BB">
        <w:rPr>
          <w:rFonts w:ascii="Segoe UI" w:eastAsia="Times New Roman" w:hAnsi="Segoe UI" w:cs="Times New Roman"/>
          <w:sz w:val="20"/>
          <w:szCs w:val="20"/>
        </w:rPr>
        <w:t xml:space="preserve"> prescribing </w:t>
      </w:r>
      <w:r w:rsidR="00194CB5" w:rsidRPr="001452BB">
        <w:rPr>
          <w:rFonts w:ascii="Segoe UI" w:eastAsia="Times New Roman" w:hAnsi="Segoe UI" w:cs="Times New Roman"/>
          <w:sz w:val="20"/>
          <w:szCs w:val="20"/>
        </w:rPr>
        <w:t>antibiotics</w:t>
      </w:r>
      <w:r w:rsidR="00E41600" w:rsidRPr="001452BB">
        <w:rPr>
          <w:rFonts w:ascii="Segoe UI" w:eastAsia="Times New Roman" w:hAnsi="Segoe UI" w:cs="Times New Roman"/>
          <w:sz w:val="20"/>
          <w:szCs w:val="20"/>
        </w:rPr>
        <w:t>.</w:t>
      </w:r>
      <w:r w:rsidR="00194CB5" w:rsidRPr="001452BB">
        <w:rPr>
          <w:rFonts w:ascii="Segoe UI" w:eastAsia="Times New Roman" w:hAnsi="Segoe UI" w:cs="Times New Roman"/>
          <w:sz w:val="20"/>
          <w:szCs w:val="20"/>
        </w:rPr>
        <w:t xml:space="preserve"> </w:t>
      </w:r>
      <w:r w:rsidR="001452BB" w:rsidRPr="001452BB">
        <w:rPr>
          <w:rFonts w:ascii="Segoe UI" w:eastAsia="Times New Roman" w:hAnsi="Segoe UI" w:cs="Times New Roman"/>
          <w:sz w:val="20"/>
          <w:szCs w:val="20"/>
        </w:rPr>
        <w:t>i.e.,</w:t>
      </w:r>
      <w:r w:rsidR="00194CB5" w:rsidRPr="001452BB">
        <w:rPr>
          <w:rFonts w:ascii="Segoe UI" w:eastAsia="Times New Roman" w:hAnsi="Segoe UI" w:cs="Times New Roman"/>
          <w:sz w:val="20"/>
          <w:szCs w:val="20"/>
        </w:rPr>
        <w:t xml:space="preserve"> antibiotic review to include labora</w:t>
      </w:r>
      <w:r w:rsidR="00EA4AC1" w:rsidRPr="001452BB">
        <w:rPr>
          <w:rFonts w:ascii="Segoe UI" w:eastAsia="Times New Roman" w:hAnsi="Segoe UI" w:cs="Times New Roman"/>
          <w:sz w:val="20"/>
          <w:szCs w:val="20"/>
        </w:rPr>
        <w:t xml:space="preserve">tory data, recommended length of time, review on admission/readmission, </w:t>
      </w:r>
      <w:r w:rsidR="001452BB" w:rsidRPr="001452BB">
        <w:rPr>
          <w:rFonts w:ascii="Segoe UI" w:eastAsia="Times New Roman" w:hAnsi="Segoe UI" w:cs="Times New Roman"/>
          <w:sz w:val="20"/>
          <w:szCs w:val="20"/>
        </w:rPr>
        <w:t>reviewed</w:t>
      </w:r>
      <w:r w:rsidR="00EA4AC1" w:rsidRPr="001452BB">
        <w:rPr>
          <w:rFonts w:ascii="Segoe UI" w:eastAsia="Times New Roman" w:hAnsi="Segoe UI" w:cs="Times New Roman"/>
          <w:sz w:val="20"/>
          <w:szCs w:val="20"/>
        </w:rPr>
        <w:t xml:space="preserve"> </w:t>
      </w:r>
      <w:r w:rsidR="0002555E" w:rsidRPr="001452BB">
        <w:rPr>
          <w:rFonts w:ascii="Segoe UI" w:eastAsia="Times New Roman" w:hAnsi="Segoe UI" w:cs="Times New Roman"/>
          <w:sz w:val="20"/>
          <w:szCs w:val="20"/>
        </w:rPr>
        <w:t>monthly by pharmacy consultant.</w:t>
      </w:r>
    </w:p>
    <w:p w14:paraId="503F0090" w14:textId="74AA7723" w:rsidR="002303B9" w:rsidRPr="001452BB" w:rsidRDefault="00E53EA6" w:rsidP="00093C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sz w:val="20"/>
          <w:szCs w:val="20"/>
        </w:rPr>
      </w:pPr>
      <w:r w:rsidRPr="001452BB">
        <w:rPr>
          <w:rFonts w:ascii="Segoe UI" w:eastAsia="Times New Roman" w:hAnsi="Segoe UI" w:cs="Times New Roman"/>
          <w:sz w:val="20"/>
          <w:szCs w:val="20"/>
        </w:rPr>
        <w:t xml:space="preserve">Ensure all residents who are receiving antibiotics are included on the </w:t>
      </w:r>
      <w:r w:rsidR="0021673F" w:rsidRPr="001452BB">
        <w:rPr>
          <w:rFonts w:ascii="Segoe UI" w:eastAsia="Times New Roman" w:hAnsi="Segoe UI" w:cs="Times New Roman"/>
          <w:sz w:val="20"/>
          <w:szCs w:val="20"/>
        </w:rPr>
        <w:t>Matrix.</w:t>
      </w:r>
    </w:p>
    <w:p w14:paraId="761F28D4" w14:textId="77777777" w:rsidR="00E53EA6" w:rsidRPr="001452BB" w:rsidRDefault="00E53EA6" w:rsidP="004C7970">
      <w:p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</w:p>
    <w:p w14:paraId="7501D1E2" w14:textId="475566C1" w:rsidR="009B747D" w:rsidRPr="001452BB" w:rsidRDefault="009B747D" w:rsidP="004C7970">
      <w:p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b/>
          <w:bCs/>
          <w:color w:val="000000"/>
          <w:sz w:val="20"/>
          <w:szCs w:val="20"/>
          <w:u w:val="single"/>
        </w:rPr>
      </w:pPr>
      <w:r w:rsidRPr="001452BB">
        <w:rPr>
          <w:rFonts w:ascii="Segoe UI" w:eastAsia="Times New Roman" w:hAnsi="Segoe UI" w:cs="Times New Roman"/>
          <w:b/>
          <w:bCs/>
          <w:color w:val="000000"/>
          <w:sz w:val="20"/>
          <w:szCs w:val="20"/>
          <w:u w:val="single"/>
        </w:rPr>
        <w:t>Immunizations</w:t>
      </w:r>
    </w:p>
    <w:p w14:paraId="61381887" w14:textId="6C72C8CF" w:rsidR="004C7970" w:rsidRPr="001452BB" w:rsidRDefault="009B747D" w:rsidP="00093C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Immunization logs</w:t>
      </w:r>
      <w:r w:rsidR="00922332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for </w:t>
      </w: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Pneumonia</w:t>
      </w:r>
      <w:r w:rsidR="00A929D7" w:rsidRPr="001452BB">
        <w:rPr>
          <w:rFonts w:ascii="Segoe UI" w:eastAsia="Times New Roman" w:hAnsi="Segoe UI" w:cs="Times New Roman"/>
          <w:color w:val="000000"/>
          <w:sz w:val="20"/>
          <w:szCs w:val="20"/>
        </w:rPr>
        <w:t>, COVID-19</w:t>
      </w: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, and influenza (if being surveyed from September to March)</w:t>
      </w:r>
      <w:r w:rsidR="00AE0E25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(Copy of all 3 policies if not provided to the Team Leader on entrance)</w:t>
      </w:r>
    </w:p>
    <w:p w14:paraId="4E3E8D64" w14:textId="77777777" w:rsidR="009B747D" w:rsidRPr="001452BB" w:rsidRDefault="009B747D" w:rsidP="004C7970">
      <w:p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</w:p>
    <w:p w14:paraId="7422058F" w14:textId="4F50045F" w:rsidR="00AF0F2C" w:rsidRPr="001452BB" w:rsidRDefault="009B747D" w:rsidP="004C7970">
      <w:p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b/>
          <w:bCs/>
          <w:color w:val="000000"/>
          <w:sz w:val="20"/>
          <w:szCs w:val="20"/>
          <w:u w:val="single"/>
        </w:rPr>
      </w:pPr>
      <w:r w:rsidRPr="001452BB">
        <w:rPr>
          <w:rFonts w:ascii="Segoe UI" w:eastAsia="Times New Roman" w:hAnsi="Segoe UI" w:cs="Times New Roman"/>
          <w:b/>
          <w:bCs/>
          <w:color w:val="000000"/>
          <w:sz w:val="20"/>
          <w:szCs w:val="20"/>
          <w:u w:val="single"/>
        </w:rPr>
        <w:t>IV Therapy Program</w:t>
      </w:r>
    </w:p>
    <w:p w14:paraId="0F08C70D" w14:textId="3235B063" w:rsidR="00FA7B44" w:rsidRPr="001452BB" w:rsidRDefault="00FA7B44" w:rsidP="00093C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IV policy and procedure manual with yearly signed review</w:t>
      </w:r>
    </w:p>
    <w:p w14:paraId="5171068E" w14:textId="70949443" w:rsidR="009B747D" w:rsidRPr="001452BB" w:rsidRDefault="009B747D" w:rsidP="00093C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IV therapy Log </w:t>
      </w:r>
    </w:p>
    <w:p w14:paraId="781565E6" w14:textId="76B97719" w:rsidR="009B747D" w:rsidRPr="001452BB" w:rsidRDefault="009B747D" w:rsidP="00093C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IV certifications</w:t>
      </w:r>
    </w:p>
    <w:p w14:paraId="087E5A3D" w14:textId="07AF248D" w:rsidR="00FA7B44" w:rsidRPr="001452BB" w:rsidRDefault="009B747D" w:rsidP="00093C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IV education </w:t>
      </w:r>
      <w:r w:rsidR="00FA7B44" w:rsidRPr="001452BB">
        <w:rPr>
          <w:rFonts w:ascii="Segoe UI" w:eastAsia="Times New Roman" w:hAnsi="Segoe UI" w:cs="Times New Roman"/>
          <w:color w:val="000000"/>
          <w:sz w:val="20"/>
          <w:szCs w:val="20"/>
        </w:rPr>
        <w:t>policy</w:t>
      </w:r>
      <w:r w:rsidR="00AE0E25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and</w:t>
      </w:r>
      <w:r w:rsidR="00FA7B44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education </w:t>
      </w:r>
      <w:r w:rsidR="001E02D9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conducted for </w:t>
      </w:r>
      <w:r w:rsidR="0021673F" w:rsidRPr="001452BB">
        <w:rPr>
          <w:rFonts w:ascii="Segoe UI" w:eastAsia="Times New Roman" w:hAnsi="Segoe UI" w:cs="Times New Roman"/>
          <w:color w:val="000000"/>
          <w:sz w:val="20"/>
          <w:szCs w:val="20"/>
        </w:rPr>
        <w:t>staff.</w:t>
      </w:r>
    </w:p>
    <w:p w14:paraId="780A79CD" w14:textId="1FA48C6B" w:rsidR="009B747D" w:rsidRPr="001452BB" w:rsidRDefault="00FA7B44" w:rsidP="00093C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IV competency policy</w:t>
      </w:r>
      <w:r w:rsidR="00AE0E25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 and </w:t>
      </w:r>
      <w:r w:rsidR="009B747D"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IV competencies </w:t>
      </w: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 xml:space="preserve">performed </w:t>
      </w:r>
      <w:r w:rsidR="009B747D" w:rsidRPr="001452BB">
        <w:rPr>
          <w:rFonts w:ascii="Segoe UI" w:eastAsia="Times New Roman" w:hAnsi="Segoe UI" w:cs="Times New Roman"/>
          <w:color w:val="000000"/>
          <w:sz w:val="20"/>
          <w:szCs w:val="20"/>
        </w:rPr>
        <w:t>(CNAs and licensed staff)</w:t>
      </w:r>
    </w:p>
    <w:p w14:paraId="10FB5257" w14:textId="0025D28E" w:rsidR="0084169A" w:rsidRPr="001452BB" w:rsidRDefault="009B747D" w:rsidP="001452B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15" w:lineRule="atLeast"/>
        <w:rPr>
          <w:rFonts w:ascii="Segoe UI" w:eastAsia="Times New Roman" w:hAnsi="Segoe UI" w:cs="Times New Roman"/>
          <w:color w:val="000000"/>
          <w:sz w:val="20"/>
          <w:szCs w:val="20"/>
        </w:rPr>
      </w:pPr>
      <w:r w:rsidRPr="001452BB">
        <w:rPr>
          <w:rFonts w:ascii="Segoe UI" w:eastAsia="Times New Roman" w:hAnsi="Segoe UI" w:cs="Times New Roman"/>
          <w:color w:val="000000"/>
          <w:sz w:val="20"/>
          <w:szCs w:val="20"/>
        </w:rPr>
        <w:t>IV waivers</w:t>
      </w:r>
    </w:p>
    <w:p w14:paraId="13519578" w14:textId="77777777" w:rsidR="0084169A" w:rsidRPr="001452BB" w:rsidRDefault="0084169A">
      <w:pPr>
        <w:rPr>
          <w:sz w:val="20"/>
          <w:szCs w:val="20"/>
        </w:rPr>
      </w:pPr>
    </w:p>
    <w:p w14:paraId="1779EEF8" w14:textId="180B9754" w:rsidR="0084169A" w:rsidRPr="001452BB" w:rsidRDefault="0084169A">
      <w:pPr>
        <w:rPr>
          <w:sz w:val="20"/>
          <w:szCs w:val="20"/>
        </w:rPr>
      </w:pPr>
      <w:r w:rsidRPr="001452BB">
        <w:rPr>
          <w:sz w:val="20"/>
          <w:szCs w:val="20"/>
        </w:rPr>
        <w:t>LTN 8/1/23</w:t>
      </w:r>
    </w:p>
    <w:sectPr w:rsidR="0084169A" w:rsidRPr="001452BB" w:rsidSect="00A929D7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2FF9"/>
    <w:multiLevelType w:val="hybridMultilevel"/>
    <w:tmpl w:val="E674A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D1081"/>
    <w:multiLevelType w:val="hybridMultilevel"/>
    <w:tmpl w:val="BA0C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1430F"/>
    <w:multiLevelType w:val="hybridMultilevel"/>
    <w:tmpl w:val="B0A2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126E8"/>
    <w:multiLevelType w:val="hybridMultilevel"/>
    <w:tmpl w:val="4590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E589D"/>
    <w:multiLevelType w:val="hybridMultilevel"/>
    <w:tmpl w:val="A39AD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34055"/>
    <w:multiLevelType w:val="hybridMultilevel"/>
    <w:tmpl w:val="A956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817D1"/>
    <w:multiLevelType w:val="hybridMultilevel"/>
    <w:tmpl w:val="BADA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37335">
    <w:abstractNumId w:val="0"/>
  </w:num>
  <w:num w:numId="2" w16cid:durableId="337584732">
    <w:abstractNumId w:val="5"/>
  </w:num>
  <w:num w:numId="3" w16cid:durableId="772630185">
    <w:abstractNumId w:val="2"/>
  </w:num>
  <w:num w:numId="4" w16cid:durableId="1952468432">
    <w:abstractNumId w:val="3"/>
  </w:num>
  <w:num w:numId="5" w16cid:durableId="603154590">
    <w:abstractNumId w:val="1"/>
  </w:num>
  <w:num w:numId="6" w16cid:durableId="184680453">
    <w:abstractNumId w:val="4"/>
  </w:num>
  <w:num w:numId="7" w16cid:durableId="2121564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70"/>
    <w:rsid w:val="0002555E"/>
    <w:rsid w:val="00093CB7"/>
    <w:rsid w:val="000A4449"/>
    <w:rsid w:val="000D2CAB"/>
    <w:rsid w:val="000F390B"/>
    <w:rsid w:val="00126E13"/>
    <w:rsid w:val="001270ED"/>
    <w:rsid w:val="001452BB"/>
    <w:rsid w:val="00160A2B"/>
    <w:rsid w:val="00182B4F"/>
    <w:rsid w:val="00194CB5"/>
    <w:rsid w:val="001B1017"/>
    <w:rsid w:val="001E02D9"/>
    <w:rsid w:val="001F45AF"/>
    <w:rsid w:val="001F7098"/>
    <w:rsid w:val="0021673F"/>
    <w:rsid w:val="002303B9"/>
    <w:rsid w:val="002F0A39"/>
    <w:rsid w:val="0031335A"/>
    <w:rsid w:val="0032167F"/>
    <w:rsid w:val="00345C52"/>
    <w:rsid w:val="00370C90"/>
    <w:rsid w:val="00387F02"/>
    <w:rsid w:val="003926F2"/>
    <w:rsid w:val="003A5859"/>
    <w:rsid w:val="00443D86"/>
    <w:rsid w:val="004846DF"/>
    <w:rsid w:val="004A19B8"/>
    <w:rsid w:val="004A3C5B"/>
    <w:rsid w:val="004C7970"/>
    <w:rsid w:val="004D33E3"/>
    <w:rsid w:val="004D47D4"/>
    <w:rsid w:val="00585C53"/>
    <w:rsid w:val="005E2BB3"/>
    <w:rsid w:val="00623C52"/>
    <w:rsid w:val="00661727"/>
    <w:rsid w:val="006A382A"/>
    <w:rsid w:val="00755DD4"/>
    <w:rsid w:val="00792613"/>
    <w:rsid w:val="00793B05"/>
    <w:rsid w:val="007D5638"/>
    <w:rsid w:val="007D720D"/>
    <w:rsid w:val="00816CA4"/>
    <w:rsid w:val="0084169A"/>
    <w:rsid w:val="0085179D"/>
    <w:rsid w:val="00854486"/>
    <w:rsid w:val="00922332"/>
    <w:rsid w:val="009B747D"/>
    <w:rsid w:val="009C0A7E"/>
    <w:rsid w:val="009E62B6"/>
    <w:rsid w:val="00A06D82"/>
    <w:rsid w:val="00A303FD"/>
    <w:rsid w:val="00A86907"/>
    <w:rsid w:val="00A929D7"/>
    <w:rsid w:val="00AC0946"/>
    <w:rsid w:val="00AE0E25"/>
    <w:rsid w:val="00AE7527"/>
    <w:rsid w:val="00AF0F2C"/>
    <w:rsid w:val="00AF2847"/>
    <w:rsid w:val="00B32366"/>
    <w:rsid w:val="00B43617"/>
    <w:rsid w:val="00B55B51"/>
    <w:rsid w:val="00B977EA"/>
    <w:rsid w:val="00C6023A"/>
    <w:rsid w:val="00C80703"/>
    <w:rsid w:val="00D364B9"/>
    <w:rsid w:val="00D7479B"/>
    <w:rsid w:val="00DA0167"/>
    <w:rsid w:val="00DB458B"/>
    <w:rsid w:val="00DE6FEE"/>
    <w:rsid w:val="00E16FE4"/>
    <w:rsid w:val="00E41453"/>
    <w:rsid w:val="00E41600"/>
    <w:rsid w:val="00E462D8"/>
    <w:rsid w:val="00E46542"/>
    <w:rsid w:val="00E53EA6"/>
    <w:rsid w:val="00E75DBB"/>
    <w:rsid w:val="00E9460D"/>
    <w:rsid w:val="00EA4AC1"/>
    <w:rsid w:val="00EF418D"/>
    <w:rsid w:val="00EF751E"/>
    <w:rsid w:val="00F2280B"/>
    <w:rsid w:val="00FA3094"/>
    <w:rsid w:val="00FA7B44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7476"/>
  <w15:chartTrackingRefBased/>
  <w15:docId w15:val="{0317684E-4AA4-468B-9AF4-6AA807DC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Urban, Cara</dc:creator>
  <cp:keywords/>
  <dc:description/>
  <cp:lastModifiedBy>Trombley-Norton, Laura</cp:lastModifiedBy>
  <cp:revision>9</cp:revision>
  <cp:lastPrinted>2023-10-18T11:37:00Z</cp:lastPrinted>
  <dcterms:created xsi:type="dcterms:W3CDTF">2023-08-01T14:52:00Z</dcterms:created>
  <dcterms:modified xsi:type="dcterms:W3CDTF">2023-10-23T15:43:00Z</dcterms:modified>
</cp:coreProperties>
</file>